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Министерства образования Республики Беларусь от 08.08.2022 N 234</w:t>
              <w:br/>
              <w:t xml:space="preserve">(ред. от 22.12.2025)</w:t>
              <w:br/>
              <w:t xml:space="preserve">"Аб зацвярджэннi Iнструкцыi аб атэстацыi ў парадку экстэрнату"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02.02.2026</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0"/>
        <w:outlineLvl w:val="0"/>
        <w:jc w:val="both"/>
      </w:pPr>
      <w:r>
        <w:rPr>
          <w:sz w:val="20"/>
        </w:rPr>
        <w:t xml:space="preserve">Зарегистрировано в Национальном реестре правовых актов</w:t>
      </w:r>
    </w:p>
    <w:p>
      <w:pPr>
        <w:pStyle w:val="0"/>
        <w:spacing w:before="200" w:line-rule="auto"/>
      </w:pPr>
      <w:r>
        <w:rPr>
          <w:sz w:val="20"/>
        </w:rPr>
        <w:t xml:space="preserve">Республики Беларусь 22 августа 2022 г. N 8/38600</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ПАСТАНОВА МIНIСТЭРСТВА АДУКАЦЫI РЭСПУБЛIКI БЕЛАРУСЬ</w:t>
      </w:r>
    </w:p>
    <w:p>
      <w:pPr>
        <w:pStyle w:val="2"/>
        <w:jc w:val="center"/>
      </w:pPr>
      <w:r>
        <w:rPr>
          <w:sz w:val="20"/>
        </w:rPr>
        <w:t xml:space="preserve">8 жнiўня 2022 г. N 234</w:t>
      </w:r>
    </w:p>
    <w:p>
      <w:pPr>
        <w:pStyle w:val="2"/>
        <w:jc w:val="center"/>
      </w:pPr>
      <w:r>
        <w:rPr>
          <w:sz w:val="20"/>
        </w:rPr>
      </w:r>
    </w:p>
    <w:p>
      <w:pPr>
        <w:pStyle w:val="2"/>
        <w:jc w:val="center"/>
      </w:pPr>
      <w:r>
        <w:rPr>
          <w:sz w:val="20"/>
        </w:rPr>
        <w:t xml:space="preserve">АБ ЗАЦВЯРДЖЭННI IНСТРУКЦЫI АБ АТЭСТАЦЫI Ў ПАРАДКУ ЭКСТЭРНАТУ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(в ред. </w:t>
            </w:r>
            <w:hyperlink w:history="0" r:id="rId7" w:tooltip="Постановление Министерства образования Республики Беларусь от 22.12.2025 N 231 &quot;Аб змяненнi пастановы Мiнiстэрства адукацыi Рэспублiкi Беларусь ад 8 жнiўня 2022 г. N 234&quot; {КонсультантПлюс}">
              <w:r>
                <w:rPr>
                  <w:sz w:val="20"/>
                  <w:color w:val="0000ff"/>
                </w:rPr>
                <w:t xml:space="preserve">постановления</w:t>
              </w:r>
            </w:hyperlink>
            <w:r>
              <w:rPr>
                <w:sz w:val="20"/>
                <w:color w:val="392c69"/>
              </w:rPr>
              <w:t xml:space="preserve"> Минобразования от 22.12.2025 N 231)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На падставе </w:t>
      </w:r>
      <w:hyperlink w:history="0" r:id="rId8" w:tooltip="Кодекс Республики Беларусь от 13.01.2011 N 243-З (ред. от 14.01.2022) &quot;Кодекс Республики Беларусь об образовании&quot; ------------ Недействующая редакция {КонсультантПлюс}">
        <w:r>
          <w:rPr>
            <w:sz w:val="20"/>
            <w:color w:val="0000ff"/>
          </w:rPr>
          <w:t xml:space="preserve">пункта 4 артыкула 159</w:t>
        </w:r>
      </w:hyperlink>
      <w:r>
        <w:rPr>
          <w:sz w:val="20"/>
        </w:rPr>
        <w:t xml:space="preserve"> Кодэкса Рэспублiкi Беларусь аб адукацыi Мiнiстэрства адукацыi Рэспублiкi Беларусь ПАСТАНАЎЛЯЕ:</w:t>
      </w:r>
    </w:p>
    <w:p>
      <w:pPr>
        <w:pStyle w:val="0"/>
        <w:spacing w:before="200" w:line-rule="auto"/>
        <w:ind w:firstLine="540"/>
        <w:jc w:val="both"/>
      </w:pPr>
      <w:r>
        <w:rPr>
          <w:sz w:val="20"/>
        </w:rPr>
        <w:t xml:space="preserve">1. Зацвердзiць </w:t>
      </w:r>
      <w:hyperlink w:history="0" w:anchor="P52" w:tooltip="IНСТРУКЦЫЯ">
        <w:r>
          <w:rPr>
            <w:sz w:val="20"/>
            <w:color w:val="0000ff"/>
          </w:rPr>
          <w:t xml:space="preserve">Iнструкцыю</w:t>
        </w:r>
      </w:hyperlink>
      <w:r>
        <w:rPr>
          <w:sz w:val="20"/>
        </w:rPr>
        <w:t xml:space="preserve"> аб атэстацыi ў парадку экстэрнату (дадаецца).</w:t>
      </w:r>
    </w:p>
    <w:p>
      <w:pPr>
        <w:pStyle w:val="0"/>
        <w:spacing w:before="200" w:line-rule="auto"/>
        <w:ind w:firstLine="540"/>
        <w:jc w:val="both"/>
      </w:pPr>
      <w:r>
        <w:rPr>
          <w:sz w:val="20"/>
        </w:rPr>
        <w:t xml:space="preserve">2. Дадзеная пастанова ўступае ў сiлу з 1 верасня 2022 г.</w:t>
      </w:r>
    </w:p>
    <w:p>
      <w:pPr>
        <w:pStyle w:val="0"/>
        <w:ind w:firstLine="540"/>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Мiнiстр</w:t>
            </w:r>
          </w:p>
        </w:tc>
        <w:tc>
          <w:tcPr>
            <w:tcW w:w="5103" w:type="dxa"/>
            <w:tcBorders>
              <w:top w:val="nil"/>
              <w:left w:val="nil"/>
              <w:bottom w:val="nil"/>
              <w:right w:val="nil"/>
            </w:tcBorders>
          </w:tcPr>
          <w:p>
            <w:pPr>
              <w:pStyle w:val="0"/>
              <w:jc w:val="right"/>
            </w:pPr>
            <w:r>
              <w:rPr>
                <w:sz w:val="20"/>
              </w:rPr>
              <w:t xml:space="preserve">А.I.Iванец</w:t>
            </w:r>
          </w:p>
        </w:tc>
      </w:tr>
    </w:tbl>
    <w:p>
      <w:pPr>
        <w:pStyle w:val="0"/>
        <w:ind w:firstLine="540"/>
      </w:pPr>
      <w:r>
        <w:rPr>
          <w:sz w:val="20"/>
        </w:rPr>
      </w:r>
    </w:p>
    <w:p>
      <w:pPr>
        <w:pStyle w:val="1"/>
        <w:jc w:val="both"/>
      </w:pPr>
      <w:r>
        <w:rPr>
          <w:sz w:val="20"/>
        </w:rPr>
        <w:t xml:space="preserve">УЗГОДНЕНА</w:t>
      </w:r>
    </w:p>
    <w:p>
      <w:pPr>
        <w:pStyle w:val="1"/>
        <w:jc w:val="both"/>
      </w:pPr>
      <w:r>
        <w:rPr>
          <w:sz w:val="20"/>
        </w:rPr>
        <w:t xml:space="preserve">Мiнiстэрства фiнансаў</w:t>
      </w:r>
    </w:p>
    <w:p>
      <w:pPr>
        <w:pStyle w:val="1"/>
        <w:jc w:val="both"/>
      </w:pPr>
      <w:r>
        <w:rPr>
          <w:sz w:val="20"/>
        </w:rPr>
        <w:t xml:space="preserve">Рэспублiкi Беларусь</w:t>
      </w:r>
    </w:p>
    <w:p>
      <w:pPr>
        <w:pStyle w:val="1"/>
        <w:jc w:val="both"/>
      </w:pPr>
      <w:r>
        <w:rPr>
          <w:sz w:val="20"/>
        </w:rPr>
      </w:r>
    </w:p>
    <w:p>
      <w:pPr>
        <w:pStyle w:val="1"/>
        <w:jc w:val="both"/>
      </w:pPr>
      <w:r>
        <w:rPr>
          <w:sz w:val="20"/>
        </w:rPr>
        <w:t xml:space="preserve">Брэсцкi абласны</w:t>
      </w:r>
    </w:p>
    <w:p>
      <w:pPr>
        <w:pStyle w:val="1"/>
        <w:jc w:val="both"/>
      </w:pPr>
      <w:r>
        <w:rPr>
          <w:sz w:val="20"/>
        </w:rPr>
        <w:t xml:space="preserve">выканаўчы камiтэт</w:t>
      </w:r>
    </w:p>
    <w:p>
      <w:pPr>
        <w:pStyle w:val="1"/>
        <w:jc w:val="both"/>
      </w:pPr>
      <w:r>
        <w:rPr>
          <w:sz w:val="20"/>
        </w:rPr>
      </w:r>
    </w:p>
    <w:p>
      <w:pPr>
        <w:pStyle w:val="1"/>
        <w:jc w:val="both"/>
      </w:pPr>
      <w:r>
        <w:rPr>
          <w:sz w:val="20"/>
        </w:rPr>
        <w:t xml:space="preserve">Вiцебскi абласны</w:t>
      </w:r>
    </w:p>
    <w:p>
      <w:pPr>
        <w:pStyle w:val="1"/>
        <w:jc w:val="both"/>
      </w:pPr>
      <w:r>
        <w:rPr>
          <w:sz w:val="20"/>
        </w:rPr>
        <w:t xml:space="preserve">выканаўчы камiтэт</w:t>
      </w:r>
    </w:p>
    <w:p>
      <w:pPr>
        <w:pStyle w:val="1"/>
        <w:jc w:val="both"/>
      </w:pPr>
      <w:r>
        <w:rPr>
          <w:sz w:val="20"/>
        </w:rPr>
      </w:r>
    </w:p>
    <w:p>
      <w:pPr>
        <w:pStyle w:val="1"/>
        <w:jc w:val="both"/>
      </w:pPr>
      <w:r>
        <w:rPr>
          <w:sz w:val="20"/>
        </w:rPr>
        <w:t xml:space="preserve">Гомельскi абласны</w:t>
      </w:r>
    </w:p>
    <w:p>
      <w:pPr>
        <w:pStyle w:val="1"/>
        <w:jc w:val="both"/>
      </w:pPr>
      <w:r>
        <w:rPr>
          <w:sz w:val="20"/>
        </w:rPr>
        <w:t xml:space="preserve">выканаўчы камiтэт</w:t>
      </w:r>
    </w:p>
    <w:p>
      <w:pPr>
        <w:pStyle w:val="1"/>
        <w:jc w:val="both"/>
      </w:pPr>
      <w:r>
        <w:rPr>
          <w:sz w:val="20"/>
        </w:rPr>
      </w:r>
    </w:p>
    <w:p>
      <w:pPr>
        <w:pStyle w:val="1"/>
        <w:jc w:val="both"/>
      </w:pPr>
      <w:r>
        <w:rPr>
          <w:sz w:val="20"/>
        </w:rPr>
        <w:t xml:space="preserve">Гродненскi абласны</w:t>
      </w:r>
    </w:p>
    <w:p>
      <w:pPr>
        <w:pStyle w:val="1"/>
        <w:jc w:val="both"/>
      </w:pPr>
      <w:r>
        <w:rPr>
          <w:sz w:val="20"/>
        </w:rPr>
        <w:t xml:space="preserve">выканаўчы камiтэт</w:t>
      </w:r>
    </w:p>
    <w:p>
      <w:pPr>
        <w:pStyle w:val="1"/>
        <w:jc w:val="both"/>
      </w:pPr>
      <w:r>
        <w:rPr>
          <w:sz w:val="20"/>
        </w:rPr>
      </w:r>
    </w:p>
    <w:p>
      <w:pPr>
        <w:pStyle w:val="1"/>
        <w:jc w:val="both"/>
      </w:pPr>
      <w:r>
        <w:rPr>
          <w:sz w:val="20"/>
        </w:rPr>
        <w:t xml:space="preserve">Мiнскi абласны</w:t>
      </w:r>
    </w:p>
    <w:p>
      <w:pPr>
        <w:pStyle w:val="1"/>
        <w:jc w:val="both"/>
      </w:pPr>
      <w:r>
        <w:rPr>
          <w:sz w:val="20"/>
        </w:rPr>
        <w:t xml:space="preserve">выканаўчы камiтэт</w:t>
      </w:r>
    </w:p>
    <w:p>
      <w:pPr>
        <w:pStyle w:val="1"/>
        <w:jc w:val="both"/>
      </w:pPr>
      <w:r>
        <w:rPr>
          <w:sz w:val="20"/>
        </w:rPr>
      </w:r>
    </w:p>
    <w:p>
      <w:pPr>
        <w:pStyle w:val="1"/>
        <w:jc w:val="both"/>
      </w:pPr>
      <w:r>
        <w:rPr>
          <w:sz w:val="20"/>
        </w:rPr>
        <w:t xml:space="preserve">Магiлёўскi абласны</w:t>
      </w:r>
    </w:p>
    <w:p>
      <w:pPr>
        <w:pStyle w:val="1"/>
        <w:jc w:val="both"/>
      </w:pPr>
      <w:r>
        <w:rPr>
          <w:sz w:val="20"/>
        </w:rPr>
        <w:t xml:space="preserve">выканаўчы камiтэт</w:t>
      </w:r>
    </w:p>
    <w:p>
      <w:pPr>
        <w:pStyle w:val="1"/>
        <w:jc w:val="both"/>
      </w:pPr>
      <w:r>
        <w:rPr>
          <w:sz w:val="20"/>
        </w:rPr>
      </w:r>
    </w:p>
    <w:p>
      <w:pPr>
        <w:pStyle w:val="1"/>
        <w:jc w:val="both"/>
      </w:pPr>
      <w:r>
        <w:rPr>
          <w:sz w:val="20"/>
        </w:rPr>
        <w:t xml:space="preserve">Мiнскi гарадскi</w:t>
      </w:r>
    </w:p>
    <w:p>
      <w:pPr>
        <w:pStyle w:val="1"/>
        <w:jc w:val="both"/>
      </w:pPr>
      <w:r>
        <w:rPr>
          <w:sz w:val="20"/>
        </w:rPr>
        <w:t xml:space="preserve">выканаўчы камiтэт</w:t>
      </w:r>
    </w:p>
    <w:p>
      <w:pPr>
        <w:pStyle w:val="0"/>
        <w:ind w:firstLine="540"/>
      </w:pPr>
      <w:r>
        <w:rPr>
          <w:sz w:val="20"/>
        </w:rPr>
      </w:r>
    </w:p>
    <w:p>
      <w:pPr>
        <w:pStyle w:val="0"/>
        <w:ind w:firstLine="540"/>
      </w:pPr>
      <w:r>
        <w:rPr>
          <w:sz w:val="20"/>
        </w:rPr>
      </w:r>
    </w:p>
    <w:p>
      <w:pPr>
        <w:pStyle w:val="0"/>
        <w:ind w:firstLine="540"/>
      </w:pPr>
      <w:r>
        <w:rPr>
          <w:sz w:val="20"/>
        </w:rPr>
      </w:r>
    </w:p>
    <w:p>
      <w:pPr>
        <w:pStyle w:val="0"/>
        <w:ind w:firstLine="540"/>
      </w:pPr>
      <w:r>
        <w:rPr>
          <w:sz w:val="20"/>
        </w:rPr>
      </w:r>
    </w:p>
    <w:p>
      <w:pPr>
        <w:pStyle w:val="0"/>
        <w:ind w:firstLine="540"/>
      </w:pPr>
      <w:r>
        <w:rPr>
          <w:sz w:val="20"/>
        </w:rPr>
      </w:r>
    </w:p>
    <w:p>
      <w:pPr>
        <w:pStyle w:val="1"/>
        <w:jc w:val="both"/>
      </w:pPr>
      <w:r>
        <w:rPr>
          <w:sz w:val="20"/>
        </w:rPr>
        <w:t xml:space="preserve">                                                      ЗАЦВЕРДЖАНА</w:t>
      </w:r>
    </w:p>
    <w:p>
      <w:pPr>
        <w:pStyle w:val="1"/>
        <w:jc w:val="both"/>
      </w:pPr>
      <w:r>
        <w:rPr>
          <w:sz w:val="20"/>
        </w:rPr>
        <w:t xml:space="preserve">                                                      Пастанова</w:t>
      </w:r>
    </w:p>
    <w:p>
      <w:pPr>
        <w:pStyle w:val="1"/>
        <w:jc w:val="both"/>
      </w:pPr>
      <w:r>
        <w:rPr>
          <w:sz w:val="20"/>
        </w:rPr>
        <w:t xml:space="preserve">                                                      Мiнiстэрства адукацыi</w:t>
      </w:r>
    </w:p>
    <w:p>
      <w:pPr>
        <w:pStyle w:val="1"/>
        <w:jc w:val="both"/>
      </w:pPr>
      <w:r>
        <w:rPr>
          <w:sz w:val="20"/>
        </w:rPr>
        <w:t xml:space="preserve">                                                      Рэспублiкi Беларусь</w:t>
      </w:r>
    </w:p>
    <w:p>
      <w:pPr>
        <w:pStyle w:val="1"/>
        <w:jc w:val="both"/>
      </w:pPr>
      <w:r>
        <w:rPr>
          <w:sz w:val="20"/>
        </w:rPr>
        <w:t xml:space="preserve">                                                      08.08.2022 N 234</w:t>
      </w:r>
    </w:p>
    <w:p>
      <w:pPr>
        <w:pStyle w:val="0"/>
      </w:pPr>
      <w:r>
        <w:rPr>
          <w:sz w:val="20"/>
        </w:rPr>
      </w:r>
    </w:p>
    <w:bookmarkStart w:id="52" w:name="P52"/>
    <w:bookmarkEnd w:id="52"/>
    <w:p>
      <w:pPr>
        <w:pStyle w:val="2"/>
        <w:jc w:val="center"/>
      </w:pPr>
      <w:r>
        <w:rPr>
          <w:sz w:val="20"/>
        </w:rPr>
        <w:t xml:space="preserve">IНСТРУКЦЫЯ</w:t>
      </w:r>
    </w:p>
    <w:p>
      <w:pPr>
        <w:pStyle w:val="2"/>
        <w:jc w:val="center"/>
      </w:pPr>
      <w:r>
        <w:rPr>
          <w:sz w:val="20"/>
        </w:rPr>
        <w:t xml:space="preserve">АБ АТЭСТАЦЫI Ў ПАРАДКУ ЭКСТЭРНАТУ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(в ред. </w:t>
            </w:r>
            <w:hyperlink w:history="0" r:id="rId9" w:tooltip="Постановление Министерства образования Республики Беларусь от 22.12.2025 N 231 &quot;Аб змяненнi пастановы Мiнiстэрства адукацыi Рэспублiкi Беларусь ад 8 жнiўня 2022 г. N 234&quot; {КонсультантПлюс}">
              <w:r>
                <w:rPr>
                  <w:sz w:val="20"/>
                  <w:color w:val="0000ff"/>
                </w:rPr>
                <w:t xml:space="preserve">постановления</w:t>
              </w:r>
            </w:hyperlink>
            <w:r>
              <w:rPr>
                <w:sz w:val="20"/>
                <w:color w:val="392c69"/>
              </w:rPr>
              <w:t xml:space="preserve"> Минобразования от 22.12.2025 N 231)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1. Дадзеная Iнструкцыя вызначае парадак правядзення атэстацыi ў парадку экстэрнату.</w:t>
      </w:r>
    </w:p>
    <w:p>
      <w:pPr>
        <w:pStyle w:val="0"/>
        <w:spacing w:before="200" w:line-rule="auto"/>
        <w:ind w:firstLine="540"/>
        <w:jc w:val="both"/>
      </w:pPr>
      <w:r>
        <w:rPr>
          <w:sz w:val="20"/>
        </w:rPr>
        <w:t xml:space="preserve">2. Атэстацыя ў парадку экстэрнату праводзiцца дзяржаўнай установай агульнай сярэдняй адукацыi. Дзяржаўныя ўстановы агульнай сярэдняй адукацыi, якiя праводзяць атэстацыю ў парадку экстэрнату (далей - установа адукацыi), вызначаюцца структурным падраздзяленнем мясцовага выканаўчага i распарадчага органа, якi ажыццяўляе дзяржаўна-ўладныя паўнамоцтвы ў сферы адукацыi (далей - аддзел (упраўленне) адукацыi).</w:t>
      </w:r>
    </w:p>
    <w:p>
      <w:pPr>
        <w:pStyle w:val="0"/>
        <w:spacing w:before="200" w:line-rule="auto"/>
        <w:ind w:firstLine="540"/>
        <w:jc w:val="both"/>
      </w:pPr>
      <w:r>
        <w:rPr>
          <w:sz w:val="20"/>
        </w:rPr>
        <w:t xml:space="preserve">3. Заява i дакументы для прыняцця рашэння аб допуску асобы да атэстацыi ў парадку экстэрнату, прадугледжаныя </w:t>
      </w:r>
      <w:hyperlink w:history="0" r:id="rId10" w:tooltip="Кодекс Республики Беларусь от 13.01.2011 N 243-З (ред. от 09.12.2025) &quot;Кодекс Республики Беларусь об образовании&quot; {КонсультантПлюс}">
        <w:r>
          <w:rPr>
            <w:sz w:val="20"/>
            <w:color w:val="0000ff"/>
          </w:rPr>
          <w:t xml:space="preserve">часткай першай пункта 3 артыкула 159</w:t>
        </w:r>
      </w:hyperlink>
      <w:r>
        <w:rPr>
          <w:sz w:val="20"/>
        </w:rPr>
        <w:t xml:space="preserve"> Кодэкса Рэспублiкi Беларусь аб адукацыi (далей, калi не вызначана iншае, - дакументы), падаюцца ў аддзел (упраўленне) адукацыi, як правiла, з 3 студзеня па 31 сакавiка.</w:t>
      </w:r>
    </w:p>
    <w:p>
      <w:pPr>
        <w:pStyle w:val="0"/>
        <w:jc w:val="both"/>
      </w:pPr>
      <w:r>
        <w:rPr>
          <w:sz w:val="20"/>
        </w:rPr>
        <w:t xml:space="preserve">(п. 3 в ред. </w:t>
      </w:r>
      <w:hyperlink w:history="0" r:id="rId11" w:tooltip="Постановление Министерства образования Республики Беларусь от 22.12.2025 N 231 &quot;Аб змяненнi пастановы Мiнiстэрства адукацыi Рэспублiкi Беларусь ад 8 жнiўня 2022 г. N 234&quot; {КонсультантПлюс}">
        <w:r>
          <w:rPr>
            <w:sz w:val="20"/>
            <w:color w:val="0000ff"/>
          </w:rPr>
          <w:t xml:space="preserve">постановления</w:t>
        </w:r>
      </w:hyperlink>
      <w:r>
        <w:rPr>
          <w:sz w:val="20"/>
        </w:rPr>
        <w:t xml:space="preserve"> Минобразования от 22.12.2025 N 231)</w:t>
      </w:r>
    </w:p>
    <w:p>
      <w:pPr>
        <w:pStyle w:val="0"/>
        <w:spacing w:before="200" w:line-rule="auto"/>
        <w:ind w:firstLine="540"/>
        <w:jc w:val="both"/>
      </w:pPr>
      <w:r>
        <w:rPr>
          <w:sz w:val="20"/>
        </w:rPr>
        <w:t xml:space="preserve">4. Атэстацыя ў парадку экстэрнату праводзiцца ў маi - лiпенi. Пры падачы заявы аб допуску асобы да атэстацыi ў парадку экстэрнату пасля 31 сакавiка такая атэстацыя можа праводзiцца ў iншы тэрмiн, якi вызначаецца аддзелам (упраўленнем) адукацыi. Тэрмiн праходжання атэстацыi ў парадку экстэрнату па вынiках засваення зместу адукацыйнай праграмы сярэдняй школы павiнен супадаць з тэрмiнамi праходжання вынiковай атэстацыi.</w:t>
      </w:r>
    </w:p>
    <w:p>
      <w:pPr>
        <w:pStyle w:val="0"/>
        <w:jc w:val="both"/>
      </w:pPr>
      <w:r>
        <w:rPr>
          <w:sz w:val="20"/>
        </w:rPr>
        <w:t xml:space="preserve">(в ред. </w:t>
      </w:r>
      <w:hyperlink w:history="0" r:id="rId12" w:tooltip="Постановление Министерства образования Республики Беларусь от 22.12.2025 N 231 &quot;Аб змяненнi пастановы Мiнiстэрства адукацыi Рэспублiкi Беларусь ад 8 жнiўня 2022 г. N 234&quot; {КонсультантПлюс}">
        <w:r>
          <w:rPr>
            <w:sz w:val="20"/>
            <w:color w:val="0000ff"/>
          </w:rPr>
          <w:t xml:space="preserve">постановления</w:t>
        </w:r>
      </w:hyperlink>
      <w:r>
        <w:rPr>
          <w:sz w:val="20"/>
        </w:rPr>
        <w:t xml:space="preserve"> Минобразования от 22.12.2025 N 231)</w:t>
      </w:r>
    </w:p>
    <w:p>
      <w:pPr>
        <w:pStyle w:val="0"/>
        <w:spacing w:before="200" w:line-rule="auto"/>
        <w:ind w:firstLine="540"/>
        <w:jc w:val="both"/>
      </w:pPr>
      <w:r>
        <w:rPr>
          <w:sz w:val="20"/>
        </w:rPr>
        <w:t xml:space="preserve">5. Аддзел (упраўленне) адукацыi разглядае дакументы, якiя паступiлi, i на працягу пяцi каляндарных дзён:</w:t>
      </w:r>
    </w:p>
    <w:p>
      <w:pPr>
        <w:pStyle w:val="0"/>
        <w:spacing w:before="200" w:line-rule="auto"/>
        <w:ind w:firstLine="540"/>
        <w:jc w:val="both"/>
      </w:pPr>
      <w:r>
        <w:rPr>
          <w:sz w:val="20"/>
        </w:rPr>
        <w:t xml:space="preserve">вызначае вучэбныя прадметы, модулi, па якiх асобе неабходна здаць экзамены, прайсцi вынiковыя iспыты па асобных вучэбных прадметах, модулях;</w:t>
      </w:r>
    </w:p>
    <w:p>
      <w:pPr>
        <w:pStyle w:val="0"/>
        <w:spacing w:before="200" w:line-rule="auto"/>
        <w:ind w:firstLine="540"/>
        <w:jc w:val="both"/>
      </w:pPr>
      <w:r>
        <w:rPr>
          <w:sz w:val="20"/>
        </w:rPr>
        <w:t xml:space="preserve">вызначае вучэбныя прадметы, модулi, па якiх адзнака выстаўляецца з даведкi аб навучаннi;</w:t>
      </w:r>
    </w:p>
    <w:p>
      <w:pPr>
        <w:pStyle w:val="0"/>
        <w:spacing w:before="200" w:line-rule="auto"/>
        <w:ind w:firstLine="540"/>
        <w:jc w:val="both"/>
      </w:pPr>
      <w:r>
        <w:rPr>
          <w:sz w:val="20"/>
        </w:rPr>
        <w:t xml:space="preserve">накiроўвае ва ўстанову адукацыi рашэнне аб допуску асобы да экзаменаў, вынiковых iспытаў па асобных вучэбных прадметах, модулях разам з дакументамi, пададзенымi асобай;</w:t>
      </w:r>
    </w:p>
    <w:p>
      <w:pPr>
        <w:pStyle w:val="0"/>
        <w:spacing w:before="200" w:line-rule="auto"/>
        <w:ind w:firstLine="540"/>
        <w:jc w:val="both"/>
      </w:pPr>
      <w:r>
        <w:rPr>
          <w:sz w:val="20"/>
        </w:rPr>
        <w:t xml:space="preserve">паведамляе асобу аб допуску да атэстацыi ў парадку экстэрнату або аб адмове. Адмова ў допуску да атэстацыi ў парадку экстэрнату павiнна быць матываванай.</w:t>
      </w:r>
    </w:p>
    <w:p>
      <w:pPr>
        <w:pStyle w:val="0"/>
        <w:spacing w:before="200" w:line-rule="auto"/>
        <w:ind w:firstLine="540"/>
        <w:jc w:val="both"/>
      </w:pPr>
      <w:r>
        <w:rPr>
          <w:sz w:val="20"/>
        </w:rPr>
        <w:t xml:space="preserve">6. Кiраўнiк установы адукацыi на падставе рашэння аддзела (упраўлення) адукацыi:</w:t>
      </w:r>
    </w:p>
    <w:p>
      <w:pPr>
        <w:pStyle w:val="0"/>
        <w:spacing w:before="200" w:line-rule="auto"/>
        <w:ind w:firstLine="540"/>
        <w:jc w:val="both"/>
      </w:pPr>
      <w:r>
        <w:rPr>
          <w:sz w:val="20"/>
        </w:rPr>
        <w:t xml:space="preserve">выдае загад аб прыняццi (залiчэннi) ва ўстанову адукацыi асобы для праходжання атэстацыi ў парадку экстэрнату;</w:t>
      </w:r>
    </w:p>
    <w:p>
      <w:pPr>
        <w:pStyle w:val="0"/>
        <w:spacing w:before="200" w:line-rule="auto"/>
        <w:ind w:firstLine="540"/>
        <w:jc w:val="both"/>
      </w:pPr>
      <w:r>
        <w:rPr>
          <w:sz w:val="20"/>
        </w:rPr>
        <w:t xml:space="preserve">зацвярджае расклад правядзення экзаменаў, вынiковых iспытаў па асобных вучэбных прадметах, модулях, якi даводзiцца да ведама экстэрна не менш чым за пяць каляндарных дзён да пачатку экзаменаў, вынiковых iспытаў;</w:t>
      </w:r>
    </w:p>
    <w:p>
      <w:pPr>
        <w:pStyle w:val="0"/>
        <w:spacing w:before="200" w:line-rule="auto"/>
        <w:ind w:firstLine="540"/>
        <w:jc w:val="both"/>
      </w:pPr>
      <w:r>
        <w:rPr>
          <w:sz w:val="20"/>
        </w:rPr>
        <w:t xml:space="preserve">стварае ўмовы для праходжання экстэрнамi вынiковай атэстацыi.</w:t>
      </w:r>
    </w:p>
    <w:p>
      <w:pPr>
        <w:pStyle w:val="0"/>
        <w:spacing w:before="200" w:line-rule="auto"/>
        <w:ind w:firstLine="540"/>
        <w:jc w:val="both"/>
      </w:pPr>
      <w:r>
        <w:rPr>
          <w:sz w:val="20"/>
        </w:rPr>
        <w:t xml:space="preserve">7. Атэстацыя ў парадку экстэрнату скдадаецца з выстаўлення экзаменацыйных адзнак па вучэбных прадметах, модулях тыпавога вучэбнага плана базавай школы пры засваеннi зместу адукацыйнай праграмы базавай адукацыi, тыпавога вучэбнага плана сярэдняй школы пры засваеннi зместу адукацыйнай праграмы сярэдняй адукацыi, па якiх экстэрн здае экзамены, адзнак па вынiках праходжання вынiковых iспытаў па асобных вучэбных прадметах, модулях i (цi) адзнак з даведкi аб навучаннi.</w:t>
      </w:r>
    </w:p>
    <w:p>
      <w:pPr>
        <w:pStyle w:val="0"/>
        <w:spacing w:before="200" w:line-rule="auto"/>
        <w:ind w:firstLine="540"/>
        <w:jc w:val="both"/>
      </w:pPr>
      <w:r>
        <w:rPr>
          <w:sz w:val="20"/>
        </w:rPr>
        <w:t xml:space="preserve">8. Пералiк вучэбных прадметаў, модуляў, па якiх праводзяцца вынiковыя iспыты па заканчэннi навучання i выхавання на II ступенi агульнай сярэдняй адукацыi, на III ступенi агульнай сярэдняй адукацыi, вiды, формы i тэрмiны iх правядзення, у тым лiку асноўны i iншыя тэрмiны, рэзервовыя днi правядзення цэнтралiзаваных экзаменаў устанаўлiваюцца ў парадку, прадугледжаным </w:t>
      </w:r>
      <w:hyperlink w:history="0" r:id="rId13" w:tooltip="Кодекс Республики Беларусь от 13.01.2011 N 243-З (ред. от 14.01.2022) &quot;Кодекс Республики Беларусь об образовании&quot; ------------ Недействующая редакция {КонсультантПлюс}">
        <w:r>
          <w:rPr>
            <w:sz w:val="20"/>
            <w:color w:val="0000ff"/>
          </w:rPr>
          <w:t xml:space="preserve">часткай другой пункта 3</w:t>
        </w:r>
      </w:hyperlink>
      <w:r>
        <w:rPr>
          <w:sz w:val="20"/>
        </w:rPr>
        <w:t xml:space="preserve">, </w:t>
      </w:r>
      <w:hyperlink w:history="0" r:id="rId14" w:tooltip="Кодекс Республики Беларусь от 13.01.2011 N 243-З (ред. от 14.01.2022) &quot;Кодекс Республики Беларусь об образовании&quot; ------------ Недействующая редакция {КонсультантПлюс}">
        <w:r>
          <w:rPr>
            <w:sz w:val="20"/>
            <w:color w:val="0000ff"/>
          </w:rPr>
          <w:t xml:space="preserve">часткай другой пункта 4 артыкула 161</w:t>
        </w:r>
      </w:hyperlink>
      <w:r>
        <w:rPr>
          <w:sz w:val="20"/>
        </w:rPr>
        <w:t xml:space="preserve"> Кодэкса Рэспублiкi Беларусь аб адукацыi.</w:t>
      </w:r>
    </w:p>
    <w:p>
      <w:pPr>
        <w:pStyle w:val="0"/>
        <w:spacing w:before="200" w:line-rule="auto"/>
        <w:ind w:firstLine="540"/>
        <w:jc w:val="both"/>
      </w:pPr>
      <w:r>
        <w:rPr>
          <w:sz w:val="20"/>
        </w:rPr>
        <w:t xml:space="preserve">9. Экзамены па беларускай мове, рускай мове, матэматыцы праводзяцца ў пiсьмовай форме.</w:t>
      </w:r>
    </w:p>
    <w:p>
      <w:pPr>
        <w:pStyle w:val="0"/>
        <w:spacing w:before="200" w:line-rule="auto"/>
        <w:ind w:firstLine="540"/>
        <w:jc w:val="both"/>
      </w:pPr>
      <w:r>
        <w:rPr>
          <w:sz w:val="20"/>
        </w:rPr>
        <w:t xml:space="preserve">Кантрольна-вымяральныя матэрыялы для экзаменаў у пiсьмовай форме па вучэбных прадметах, модулях складаюцца аддзеламi (упраўленнямi) адукацыi на аснове тэкстаў, якiя змешчаны ў зборнiках экзаменацыйных матэрыялаў па адпаведным вучэбным прадмеце.</w:t>
      </w:r>
    </w:p>
    <w:p>
      <w:pPr>
        <w:pStyle w:val="0"/>
        <w:spacing w:before="200" w:line-rule="auto"/>
        <w:ind w:firstLine="540"/>
        <w:jc w:val="both"/>
      </w:pPr>
      <w:r>
        <w:rPr>
          <w:sz w:val="20"/>
        </w:rPr>
        <w:t xml:space="preserve">Экзамены па вучэбных прадметах у вуснай форме (у спалучэннi вуснай i практычнай форм) праводзяцца па бiлетах для правядзення экзаменаў у парадку экстэрнату.</w:t>
      </w:r>
    </w:p>
    <w:p>
      <w:pPr>
        <w:pStyle w:val="0"/>
        <w:spacing w:before="200" w:line-rule="auto"/>
        <w:ind w:firstLine="540"/>
        <w:jc w:val="both"/>
      </w:pPr>
      <w:r>
        <w:rPr>
          <w:sz w:val="20"/>
        </w:rPr>
        <w:t xml:space="preserve">10. Атэстацыя ў парадку экстэрнату праводзiцца ў адпаведнасцi з пастановай Мiнiстэрства адукацыi Рэспублiкi Беларусь ад 11 лiпеня 2022 г. N 184 "Об аттестации учащихся при освоении содержания образовательных программ общего среднего образования".</w:t>
      </w:r>
    </w:p>
    <w:p>
      <w:pPr>
        <w:pStyle w:val="0"/>
        <w:spacing w:before="200" w:line-rule="auto"/>
        <w:ind w:firstLine="540"/>
        <w:jc w:val="both"/>
      </w:pPr>
      <w:r>
        <w:rPr>
          <w:sz w:val="20"/>
        </w:rPr>
        <w:t xml:space="preserve">11. Пры атэстацыi ў парадку экстэрнату:</w:t>
      </w:r>
    </w:p>
    <w:p>
      <w:pPr>
        <w:pStyle w:val="0"/>
        <w:spacing w:before="200" w:line-rule="auto"/>
        <w:ind w:firstLine="540"/>
        <w:jc w:val="both"/>
      </w:pPr>
      <w:r>
        <w:rPr>
          <w:sz w:val="20"/>
        </w:rPr>
        <w:t xml:space="preserve">адзнака па вучэбным прадмеце, модулi выстаўляецца з даведкi аб навучаннi, калi ў даведцы аб навучаннi па гэтым вучэбным прадмеце, модулi выстаўлена станоўчая адзнака;</w:t>
      </w:r>
    </w:p>
    <w:p>
      <w:pPr>
        <w:pStyle w:val="0"/>
        <w:spacing w:before="200" w:line-rule="auto"/>
        <w:ind w:firstLine="540"/>
        <w:jc w:val="both"/>
      </w:pPr>
      <w:r>
        <w:rPr>
          <w:sz w:val="20"/>
        </w:rPr>
        <w:t xml:space="preserve">атэстацыя па вучэбных прадметах "Фiзiчная культура i здароўе", "Працоўнае навучанне" па вынiках засваення зместу адукацыйнай праграмы базавай адукацыi, атэстацыя па вучэбных прадметах "Фiзiчная культура i здароўе", "Дапрызыўная i медыцынская падрыхтоўка" па вынiках засваення зместу адукацыйнай праграмы сярэдняй адукацыi праводзiцца па жаданнi экстэрна. Калi па гэтых вучэбных прадметах экстэрн не праходзiць атэстацыю, то ў пасведчаннi аб агульнай базавай адукацыi або атэстаце аб агульнай сярэдняй адукацыi робiцца запiс: "не вывучаў(ла)".</w:t>
      </w:r>
    </w:p>
    <w:p>
      <w:pPr>
        <w:pStyle w:val="0"/>
        <w:spacing w:before="200" w:line-rule="auto"/>
        <w:ind w:firstLine="540"/>
        <w:jc w:val="both"/>
      </w:pPr>
      <w:r>
        <w:rPr>
          <w:sz w:val="20"/>
        </w:rPr>
        <w:t xml:space="preserve">Атэстацыя па вучэбным прадмеце "Працоўнае навучанне" па вынiках засваення зместу адукацыйнай праграмы сярэдняй адукацыi не праводзiцца. У атэстаце аб агульнай сярэдняй адукацыi робiцца запiс: "не вывучаў(ла)".</w:t>
      </w:r>
    </w:p>
    <w:p>
      <w:pPr>
        <w:pStyle w:val="0"/>
        <w:spacing w:before="200" w:line-rule="auto"/>
        <w:ind w:firstLine="540"/>
        <w:jc w:val="both"/>
      </w:pPr>
      <w:r>
        <w:rPr>
          <w:sz w:val="20"/>
        </w:rPr>
        <w:t xml:space="preserve">12. Экстэрну, якi паспяхова прайшоў атэстацыю ў парадку экстэрнату, на падставе рашэння кiраўнiка ўстановы адукацыi выдаецца дакумент аб адукацыi.</w:t>
      </w:r>
    </w:p>
    <w:p>
      <w:pPr>
        <w:pStyle w:val="0"/>
        <w:ind w:firstLine="540"/>
        <w:jc w:val="both"/>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Министерства образования Республики Беларусь от 08.08.2022 N 234</w:t>
            <w:br/>
            <w:t>(ред. от 22.12.2025)</w:t>
            <w:br/>
            <w:t>"Аб зацвярджэннi Iнс...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02.02.2026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BF302C6E33F2AA75573F80325872700F947CE2E2563AA30470AC03A99ED5EBA5B892AC7191207FA6AC402209F4E31100D4048DFF82D452DF2D9CB144E5j6MFG" TargetMode = "External"/>
	<Relationship Id="rId8" Type="http://schemas.openxmlformats.org/officeDocument/2006/relationships/hyperlink" Target="consultantplus://offline/ref=BF302C6E33F2AA75573F80325872700F947CE2E25639A90771A307A99ED5EBA5B892AC7191207FA6AC40240BF5E31100D4048DFF82D452DF2D9CB144E5j6MFG" TargetMode = "External"/>
	<Relationship Id="rId9" Type="http://schemas.openxmlformats.org/officeDocument/2006/relationships/hyperlink" Target="consultantplus://offline/ref=BF302C6E33F2AA75573F80325872700F947CE2E2563AA30470AC03A99ED5EBA5B892AC7191207FA6AC402209F4E31100D4048DFF82D452DF2D9CB144E5j6MFG" TargetMode = "External"/>
	<Relationship Id="rId10" Type="http://schemas.openxmlformats.org/officeDocument/2006/relationships/hyperlink" Target="consultantplus://offline/ref=BF302C6E33F2AA75573F80325872700F947CE2E2563AA3047DAC06A99ED5EBA5B892AC7191207FA6AC402A0DF3E21100D4048DFF82D452DF2D9CB144E5j6MFG" TargetMode = "External"/>
	<Relationship Id="rId11" Type="http://schemas.openxmlformats.org/officeDocument/2006/relationships/hyperlink" Target="consultantplus://offline/ref=BF302C6E33F2AA75573F80325872700F947CE2E2563AA30470AC03A99ED5EBA5B892AC7191207FA6AC402209F4E21100D4048DFF82D452DF2D9CB144E5j6MFG" TargetMode = "External"/>
	<Relationship Id="rId12" Type="http://schemas.openxmlformats.org/officeDocument/2006/relationships/hyperlink" Target="consultantplus://offline/ref=BF302C6E33F2AA75573F80325872700F947CE2E2563AA30470AC03A99ED5EBA5B892AC7191207FA6AC402209F5EA1100D4048DFF82D452DF2D9CB144E5j6MFG" TargetMode = "External"/>
	<Relationship Id="rId13" Type="http://schemas.openxmlformats.org/officeDocument/2006/relationships/hyperlink" Target="consultantplus://offline/ref=BF302C6E33F2AA75573F80325872700F947CE2E25639A90771A307A99ED5EBA5B892AC7191207FA6AC40240BF6E31100D4048DFF82D452DF2D9CB144E5j6MFG" TargetMode = "External"/>
	<Relationship Id="rId14" Type="http://schemas.openxmlformats.org/officeDocument/2006/relationships/hyperlink" Target="consultantplus://offline/ref=BF302C6E33F2AA75573F80325872700F947CE2E25639A90771A307A99ED5EBA5B892AC7191207FA6AC40240BF7EB1100D4048DFF82D452DF2D9CB144E5j6MF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Министерства образования Республики Беларусь от 08.08.2022 N 234
(ред. от 22.12.2025)
"Аб зацвярджэннi Iнструкцыi аб атэстацыi ў парадку экстэрнату"</dc:title>
  <dcterms:created xsi:type="dcterms:W3CDTF">2026-02-02T06:12:35Z</dcterms:created>
</cp:coreProperties>
</file>