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044" w:rsidRPr="00027051" w:rsidRDefault="00850044" w:rsidP="00AC0CD4">
      <w:pPr>
        <w:ind w:firstLine="539"/>
        <w:jc w:val="center"/>
        <w:outlineLvl w:val="0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  <w:r w:rsidRPr="00027051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ПРОГРАММА</w:t>
      </w:r>
    </w:p>
    <w:p w:rsidR="00AC0CD4" w:rsidRDefault="00850044" w:rsidP="00AC0CD4">
      <w:pPr>
        <w:ind w:firstLine="539"/>
        <w:jc w:val="center"/>
        <w:outlineLvl w:val="0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открытия</w:t>
      </w:r>
      <w:r w:rsidRPr="00C62545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 xml:space="preserve">республиканской  Недели дополнительного образования </w:t>
      </w:r>
    </w:p>
    <w:p w:rsidR="00850044" w:rsidRDefault="00850044" w:rsidP="00AC0CD4">
      <w:pPr>
        <w:ind w:firstLine="539"/>
        <w:jc w:val="center"/>
        <w:outlineLvl w:val="0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детей и молодежи</w:t>
      </w:r>
    </w:p>
    <w:p w:rsidR="00850044" w:rsidRPr="00027051" w:rsidRDefault="00850044" w:rsidP="00AC0CD4">
      <w:pPr>
        <w:ind w:firstLine="539"/>
        <w:jc w:val="center"/>
        <w:outlineLvl w:val="0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4 сентября 2018 года, город Минск</w:t>
      </w:r>
    </w:p>
    <w:p w:rsidR="00850044" w:rsidRDefault="00850044" w:rsidP="00850044">
      <w:pPr>
        <w:spacing w:before="80"/>
        <w:ind w:firstLine="539"/>
        <w:jc w:val="center"/>
        <w:outlineLvl w:val="0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</w:p>
    <w:tbl>
      <w:tblPr>
        <w:tblStyle w:val="a3"/>
        <w:tblW w:w="5086" w:type="pct"/>
        <w:tblLook w:val="04A0" w:firstRow="1" w:lastRow="0" w:firstColumn="1" w:lastColumn="0" w:noHBand="0" w:noVBand="1"/>
      </w:tblPr>
      <w:tblGrid>
        <w:gridCol w:w="3195"/>
        <w:gridCol w:w="6889"/>
      </w:tblGrid>
      <w:tr w:rsidR="00850044" w:rsidTr="00850044">
        <w:tc>
          <w:tcPr>
            <w:tcW w:w="5000" w:type="pct"/>
            <w:gridSpan w:val="2"/>
          </w:tcPr>
          <w:p w:rsidR="00850044" w:rsidRDefault="00850044" w:rsidP="007351D8">
            <w:pPr>
              <w:ind w:firstLine="540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 w:rsidRPr="00027051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Минский государственный дворец детей и молодежи</w:t>
            </w:r>
          </w:p>
          <w:p w:rsidR="00850044" w:rsidRPr="00D86337" w:rsidRDefault="00850044" w:rsidP="007351D8">
            <w:pPr>
              <w:ind w:firstLine="540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val="en-US" w:eastAsia="ru-RU"/>
              </w:rPr>
              <w:t>(</w:t>
            </w:r>
            <w:proofErr w:type="spellStart"/>
            <w:r w:rsidRPr="00027051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Старовиленский</w:t>
            </w:r>
            <w:proofErr w:type="spellEnd"/>
            <w:r w:rsidRPr="00027051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 xml:space="preserve"> тракт, 41</w:t>
            </w: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val="en-US" w:eastAsia="ru-RU"/>
              </w:rPr>
              <w:t>)</w:t>
            </w:r>
          </w:p>
        </w:tc>
      </w:tr>
      <w:tr w:rsidR="00B717AA" w:rsidTr="00850044">
        <w:tc>
          <w:tcPr>
            <w:tcW w:w="1584" w:type="pct"/>
            <w:vMerge w:val="restart"/>
          </w:tcPr>
          <w:p w:rsidR="00B717AA" w:rsidRPr="00027051" w:rsidRDefault="00B717AA" w:rsidP="007351D8">
            <w:pPr>
              <w:ind w:hanging="142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 xml:space="preserve">  </w:t>
            </w:r>
            <w:r w:rsidRPr="00027051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09.00-1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1</w:t>
            </w:r>
            <w:r w:rsidRPr="00027051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.00</w:t>
            </w:r>
          </w:p>
          <w:p w:rsidR="00B717AA" w:rsidRDefault="00B717AA" w:rsidP="00B717AA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ф</w:t>
            </w:r>
            <w:r w:rsidRPr="0002705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ойе главного корпуса          </w:t>
            </w:r>
          </w:p>
          <w:p w:rsidR="00B717AA" w:rsidRDefault="00B717AA" w:rsidP="007351D8">
            <w:pPr>
              <w:spacing w:before="80"/>
              <w:ind w:firstLine="0"/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BA7B06">
              <w:rPr>
                <w:rFonts w:ascii="Times New Roman" w:hAnsi="Times New Roman"/>
                <w:sz w:val="28"/>
                <w:szCs w:val="28"/>
              </w:rPr>
              <w:t xml:space="preserve">раморный зал  </w:t>
            </w:r>
          </w:p>
          <w:p w:rsidR="00B717AA" w:rsidRPr="00BA7B06" w:rsidRDefault="00B717AA" w:rsidP="007351D8">
            <w:pPr>
              <w:spacing w:before="80"/>
              <w:ind w:firstLine="0"/>
              <w:jc w:val="left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BA7B06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</w:p>
          <w:p w:rsidR="00B717AA" w:rsidRDefault="00B717AA" w:rsidP="00B717AA">
            <w:pPr>
              <w:spacing w:before="80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лаборатории Дворца</w:t>
            </w:r>
          </w:p>
          <w:p w:rsidR="00B717AA" w:rsidRDefault="00B717AA" w:rsidP="007351D8">
            <w:pPr>
              <w:spacing w:before="80"/>
              <w:jc w:val="left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B717AA" w:rsidRDefault="00B717AA" w:rsidP="00B717AA">
            <w:pPr>
              <w:spacing w:before="80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площадка перед главным входом</w:t>
            </w:r>
          </w:p>
        </w:tc>
        <w:tc>
          <w:tcPr>
            <w:tcW w:w="3416" w:type="pct"/>
          </w:tcPr>
          <w:p w:rsidR="00B717AA" w:rsidRDefault="00B717AA" w:rsidP="007351D8">
            <w:pPr>
              <w:ind w:firstLine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Встреча и р</w:t>
            </w:r>
            <w:r w:rsidRPr="0002705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егистрация участников</w:t>
            </w:r>
          </w:p>
          <w:p w:rsidR="00B717AA" w:rsidRPr="00DB046F" w:rsidRDefault="00B717AA" w:rsidP="007351D8">
            <w:pPr>
              <w:ind w:left="317" w:firstLine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B717AA" w:rsidTr="00850044">
        <w:tc>
          <w:tcPr>
            <w:tcW w:w="1584" w:type="pct"/>
            <w:vMerge/>
          </w:tcPr>
          <w:p w:rsidR="00B717AA" w:rsidRPr="00BA7B06" w:rsidRDefault="00B717AA" w:rsidP="007351D8">
            <w:pPr>
              <w:spacing w:before="80"/>
              <w:jc w:val="left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416" w:type="pct"/>
          </w:tcPr>
          <w:p w:rsidR="00B717AA" w:rsidRPr="003E7111" w:rsidRDefault="00B717AA" w:rsidP="007351D8">
            <w:pPr>
              <w:tabs>
                <w:tab w:val="left" w:pos="9356"/>
              </w:tabs>
              <w:ind w:right="424" w:firstLine="0"/>
              <w:rPr>
                <w:rFonts w:ascii="Times New Roman" w:hAnsi="Times New Roman"/>
                <w:sz w:val="28"/>
                <w:szCs w:val="28"/>
              </w:rPr>
            </w:pPr>
            <w:r w:rsidRPr="003E7111">
              <w:rPr>
                <w:rFonts w:ascii="Times New Roman" w:hAnsi="Times New Roman"/>
                <w:sz w:val="28"/>
                <w:szCs w:val="28"/>
              </w:rPr>
              <w:t>«Дополнительное образование детей и молодёжи: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традиционные и</w:t>
            </w:r>
            <w:r w:rsidRPr="003E7111">
              <w:rPr>
                <w:rFonts w:ascii="Times New Roman" w:hAnsi="Times New Roman"/>
                <w:sz w:val="28"/>
                <w:szCs w:val="28"/>
              </w:rPr>
              <w:t xml:space="preserve"> инновационные модели организации»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панорама инновационных практик)</w:t>
            </w:r>
          </w:p>
        </w:tc>
      </w:tr>
      <w:tr w:rsidR="00B717AA" w:rsidTr="00850044">
        <w:tc>
          <w:tcPr>
            <w:tcW w:w="1584" w:type="pct"/>
            <w:vMerge/>
          </w:tcPr>
          <w:p w:rsidR="00B717AA" w:rsidRPr="005D7D77" w:rsidRDefault="00B717AA" w:rsidP="007351D8">
            <w:pPr>
              <w:spacing w:before="80"/>
              <w:jc w:val="left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416" w:type="pct"/>
          </w:tcPr>
          <w:p w:rsidR="00B717AA" w:rsidRPr="005D7D77" w:rsidRDefault="00AC0CD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«</w:t>
            </w:r>
            <w:r w:rsidR="00B717A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Образовательное пространство «Шаг в будущее» (презентация образовательного центра «</w:t>
            </w:r>
            <w:proofErr w:type="spellStart"/>
            <w:r w:rsidR="00B717A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Технопрорыв</w:t>
            </w:r>
            <w:proofErr w:type="spellEnd"/>
            <w:r w:rsidR="00B717A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»)</w:t>
            </w:r>
          </w:p>
        </w:tc>
      </w:tr>
      <w:tr w:rsidR="00B717AA" w:rsidTr="00850044">
        <w:tc>
          <w:tcPr>
            <w:tcW w:w="1584" w:type="pct"/>
            <w:vMerge/>
          </w:tcPr>
          <w:p w:rsidR="00B717AA" w:rsidRPr="005D7D77" w:rsidRDefault="00B717AA" w:rsidP="007351D8">
            <w:pPr>
              <w:spacing w:before="80"/>
              <w:ind w:firstLine="0"/>
              <w:jc w:val="left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416" w:type="pct"/>
          </w:tcPr>
          <w:p w:rsidR="00B717AA" w:rsidRDefault="001C4D21" w:rsidP="00624C25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1C4D2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Детская зона «Город без опасности»: площадки «</w:t>
            </w:r>
            <w:proofErr w:type="spellStart"/>
            <w:r w:rsidRPr="001C4D2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Автогородок</w:t>
            </w:r>
            <w:proofErr w:type="spellEnd"/>
            <w:r w:rsidRPr="001C4D2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», </w:t>
            </w:r>
            <w:proofErr w:type="spellStart"/>
            <w:r w:rsidRPr="001C4D2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велозона</w:t>
            </w:r>
            <w:proofErr w:type="spellEnd"/>
            <w:r w:rsidR="00624C2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и др.</w:t>
            </w:r>
            <w:r w:rsidRPr="001C4D2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1C4D2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(совместно с ГАИ и МЧС)</w:t>
            </w:r>
          </w:p>
        </w:tc>
      </w:tr>
      <w:tr w:rsidR="00850044" w:rsidTr="00850044">
        <w:tc>
          <w:tcPr>
            <w:tcW w:w="5000" w:type="pct"/>
            <w:gridSpan w:val="2"/>
          </w:tcPr>
          <w:p w:rsidR="00850044" w:rsidRDefault="00850044" w:rsidP="007351D8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Минская городская ратуша</w:t>
            </w:r>
          </w:p>
          <w:p w:rsidR="00850044" w:rsidRPr="00AD08C1" w:rsidRDefault="00624C25" w:rsidP="00AF7A76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(П</w:t>
            </w:r>
            <w:r w:rsidR="00777C9A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лощадь Свободы, 2</w:t>
            </w:r>
            <w:r w:rsidR="00AF7A76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а</w:t>
            </w:r>
            <w:r w:rsidR="00850044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)</w:t>
            </w:r>
          </w:p>
        </w:tc>
      </w:tr>
      <w:tr w:rsidR="00850044" w:rsidTr="00850044">
        <w:tc>
          <w:tcPr>
            <w:tcW w:w="1584" w:type="pct"/>
          </w:tcPr>
          <w:p w:rsidR="00850044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11.30-12.00</w:t>
            </w:r>
          </w:p>
        </w:tc>
        <w:tc>
          <w:tcPr>
            <w:tcW w:w="3416" w:type="pct"/>
          </w:tcPr>
          <w:p w:rsidR="00850044" w:rsidRPr="005D7D77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5D7D77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Торжес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твенное открытие республиканской Недели учреждений дополнительного образования детей и молодежи</w:t>
            </w:r>
          </w:p>
        </w:tc>
      </w:tr>
      <w:tr w:rsidR="00B717AA" w:rsidTr="00B717AA">
        <w:tc>
          <w:tcPr>
            <w:tcW w:w="5000" w:type="pct"/>
            <w:gridSpan w:val="2"/>
          </w:tcPr>
          <w:p w:rsidR="00B717AA" w:rsidRPr="00B717AA" w:rsidRDefault="00B717AA" w:rsidP="00B717AA">
            <w:pPr>
              <w:spacing w:before="80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 w:rsidRPr="00B717AA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Верхний город</w:t>
            </w:r>
          </w:p>
        </w:tc>
      </w:tr>
      <w:tr w:rsidR="00850044" w:rsidTr="00850044">
        <w:tc>
          <w:tcPr>
            <w:tcW w:w="1584" w:type="pct"/>
          </w:tcPr>
          <w:p w:rsidR="00850044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12.00-13.00</w:t>
            </w:r>
          </w:p>
        </w:tc>
        <w:tc>
          <w:tcPr>
            <w:tcW w:w="3416" w:type="pct"/>
          </w:tcPr>
          <w:p w:rsidR="00850044" w:rsidRDefault="00850044" w:rsidP="007351D8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«Город дополнительного образования» </w:t>
            </w:r>
            <w:r w:rsidR="0068614D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интерактивная экскурсия</w:t>
            </w:r>
            <w:r w:rsidR="0068614D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по площадкам</w:t>
            </w:r>
            <w:r w:rsidR="00B717AA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:</w:t>
            </w:r>
          </w:p>
          <w:p w:rsidR="00B717AA" w:rsidRPr="00AC0CD4" w:rsidRDefault="00B717AA" w:rsidP="007351D8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- </w:t>
            </w:r>
            <w:r w:rsidR="00AC0CD4"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«И</w:t>
            </w:r>
            <w:r w:rsidR="00CA2CE5"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нтеллектуальный лабиринт</w:t>
            </w:r>
            <w:r w:rsidR="00AC0CD4"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»</w:t>
            </w:r>
          </w:p>
          <w:p w:rsidR="00CA2CE5" w:rsidRPr="00AC0CD4" w:rsidRDefault="00CA2CE5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- </w:t>
            </w:r>
            <w:r w:rsidR="00AC0CD4"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«Г</w:t>
            </w: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остиный двор»</w:t>
            </w:r>
          </w:p>
          <w:p w:rsidR="00AC0CD4" w:rsidRPr="00AC0CD4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- «Площадь детства»</w:t>
            </w:r>
          </w:p>
          <w:p w:rsidR="00AC0CD4" w:rsidRPr="00AC0CD4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- «Танцевальный переулок»</w:t>
            </w:r>
          </w:p>
          <w:p w:rsidR="00AC0CD4" w:rsidRPr="00AC0CD4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- «Игровой перекресток»</w:t>
            </w:r>
          </w:p>
          <w:p w:rsidR="00AC0CD4" w:rsidRPr="00AC0CD4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- «Минский </w:t>
            </w:r>
            <w:proofErr w:type="spellStart"/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монмартр</w:t>
            </w:r>
            <w:proofErr w:type="spellEnd"/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»</w:t>
            </w:r>
          </w:p>
          <w:p w:rsidR="00AC0CD4" w:rsidRPr="00AC0CD4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- «Пионерский проспект»</w:t>
            </w:r>
          </w:p>
          <w:p w:rsidR="00AC0CD4" w:rsidRPr="00AC0CD4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- «Рыцарский двор»</w:t>
            </w:r>
          </w:p>
          <w:p w:rsidR="00AC0CD4" w:rsidRPr="005D7D77" w:rsidRDefault="00AC0CD4" w:rsidP="00AC0CD4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AC0CD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- «Белорусский бульвар»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50044" w:rsidTr="00850044">
        <w:tc>
          <w:tcPr>
            <w:tcW w:w="5000" w:type="pct"/>
            <w:gridSpan w:val="2"/>
          </w:tcPr>
          <w:p w:rsidR="00850044" w:rsidRDefault="00850044" w:rsidP="007351D8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Мемориальный комплекс «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Тростенец</w:t>
            </w:r>
            <w:proofErr w:type="spellEnd"/>
            <w:r w:rsidR="00777C9A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»</w:t>
            </w:r>
          </w:p>
          <w:p w:rsidR="00850044" w:rsidRPr="00AD08C1" w:rsidRDefault="00850044" w:rsidP="00777C9A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(микрорайон «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Шабаны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, ул.</w:t>
            </w:r>
            <w:r w:rsidR="00777C9A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С</w:t>
            </w:r>
            <w:r w:rsidR="00777C9A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лицкого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)</w:t>
            </w:r>
          </w:p>
        </w:tc>
      </w:tr>
      <w:tr w:rsidR="00850044" w:rsidTr="00850044">
        <w:tc>
          <w:tcPr>
            <w:tcW w:w="1584" w:type="pct"/>
          </w:tcPr>
          <w:p w:rsidR="00850044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1</w:t>
            </w:r>
            <w:r w:rsidRPr="003E7111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.30-1</w:t>
            </w:r>
            <w:r w:rsidRPr="003E7111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3416" w:type="pct"/>
          </w:tcPr>
          <w:p w:rsidR="00850044" w:rsidRPr="0068614D" w:rsidRDefault="00850044" w:rsidP="0068614D">
            <w:pPr>
              <w:ind w:firstLine="0"/>
              <w:outlineLvl w:val="3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  <w:lang w:eastAsia="zh-CN"/>
              </w:rPr>
              <w:t xml:space="preserve">Социокультурный проект </w:t>
            </w:r>
            <w:r w:rsidRPr="00EA55B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7F7F6"/>
              </w:rPr>
              <w:t>«Будем знать, помнить, гордиться»</w:t>
            </w:r>
            <w:r w:rsidR="00777C9A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7F7F6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shd w:val="clear" w:color="auto" w:fill="F7F7F6"/>
              </w:rPr>
              <w:t>(</w:t>
            </w:r>
            <w:r w:rsidR="00777C9A" w:rsidRPr="006861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формирование </w:t>
            </w:r>
            <w:r w:rsidRPr="006861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 развитие исследовательской компетентности учащихся на основе ду</w:t>
            </w:r>
            <w:r w:rsidR="0068614D" w:rsidRPr="0068614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ховного и культурного </w:t>
            </w:r>
            <w:r w:rsidR="0068614D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наследия)</w:t>
            </w:r>
          </w:p>
        </w:tc>
      </w:tr>
      <w:tr w:rsidR="00850044" w:rsidTr="00850044">
        <w:tc>
          <w:tcPr>
            <w:tcW w:w="5000" w:type="pct"/>
            <w:gridSpan w:val="2"/>
          </w:tcPr>
          <w:p w:rsidR="00624C25" w:rsidRPr="00624C25" w:rsidRDefault="00624C25" w:rsidP="00624C25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 w:rsidRPr="00624C25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Молодежный центр уличной культуры и спорта «</w:t>
            </w:r>
            <w:proofErr w:type="spellStart"/>
            <w:r w:rsidRPr="00624C25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Proкач</w:t>
            </w:r>
            <w:proofErr w:type="spellEnd"/>
            <w:r w:rsidRPr="00624C25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 xml:space="preserve">» </w:t>
            </w:r>
          </w:p>
          <w:p w:rsidR="00850044" w:rsidRDefault="00624C25" w:rsidP="00624C25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624C25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(ул. Столетова, 3)</w:t>
            </w:r>
          </w:p>
        </w:tc>
      </w:tr>
      <w:tr w:rsidR="00850044" w:rsidTr="00850044">
        <w:tc>
          <w:tcPr>
            <w:tcW w:w="1584" w:type="pct"/>
          </w:tcPr>
          <w:p w:rsidR="00850044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.30-1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3416" w:type="pct"/>
          </w:tcPr>
          <w:p w:rsidR="00850044" w:rsidRPr="0068614D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Концепт-презентация «Молодежный центр уличной культуры и спорта «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 w:eastAsia="ru-RU"/>
              </w:rPr>
              <w:t>Pro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кач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» (молодежные субкультуры в воспитательном пространстве столичного региона)</w:t>
            </w:r>
          </w:p>
        </w:tc>
      </w:tr>
      <w:tr w:rsidR="00850044" w:rsidTr="00850044">
        <w:tc>
          <w:tcPr>
            <w:tcW w:w="5000" w:type="pct"/>
            <w:gridSpan w:val="2"/>
          </w:tcPr>
          <w:p w:rsidR="00850044" w:rsidRPr="00CD26DC" w:rsidRDefault="00850044" w:rsidP="00624C25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</w:pPr>
            <w:r w:rsidRPr="00CD26DC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lastRenderedPageBreak/>
              <w:t>Центр дополнительного образования детей и молодежи «</w:t>
            </w: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Контакт</w:t>
            </w:r>
            <w:r w:rsidRPr="00CD26DC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»</w:t>
            </w:r>
          </w:p>
          <w:p w:rsidR="00850044" w:rsidRPr="005D7D77" w:rsidRDefault="00850044" w:rsidP="00624C25">
            <w:pPr>
              <w:ind w:firstLine="0"/>
              <w:jc w:val="center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(у</w:t>
            </w:r>
            <w:r w:rsidRPr="00CD26DC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л.</w:t>
            </w:r>
            <w:r w:rsidR="00777C9A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М</w:t>
            </w:r>
            <w:r w:rsidR="00AC0CD4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 xml:space="preserve">аксима </w:t>
            </w: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Танка</w:t>
            </w:r>
            <w:r w:rsidRPr="00CD26DC"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i/>
                <w:spacing w:val="-2"/>
                <w:sz w:val="28"/>
                <w:szCs w:val="28"/>
                <w:lang w:eastAsia="ru-RU"/>
              </w:rPr>
              <w:t>8)</w:t>
            </w:r>
          </w:p>
        </w:tc>
      </w:tr>
      <w:tr w:rsidR="00850044" w:rsidTr="00850044">
        <w:tc>
          <w:tcPr>
            <w:tcW w:w="1584" w:type="pct"/>
          </w:tcPr>
          <w:p w:rsidR="00850044" w:rsidRDefault="00850044" w:rsidP="007351D8">
            <w:pPr>
              <w:spacing w:before="80"/>
              <w:ind w:firstLine="0"/>
              <w:outlineLvl w:val="0"/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eastAsia="ru-RU"/>
              </w:rPr>
              <w:t>16.30-17.30</w:t>
            </w:r>
          </w:p>
        </w:tc>
        <w:tc>
          <w:tcPr>
            <w:tcW w:w="3416" w:type="pct"/>
          </w:tcPr>
          <w:p w:rsidR="00850044" w:rsidRPr="00FE070A" w:rsidRDefault="00850044" w:rsidP="0068614D">
            <w:pPr>
              <w:ind w:firstLine="0"/>
              <w:outlineLvl w:val="0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Концертная программа  лучших творческих коллективов учреждений дополнительного образования детей и молодежи 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г.Минска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19F0" w:rsidRDefault="007219F0" w:rsidP="00850044">
      <w:pPr>
        <w:ind w:firstLine="0"/>
      </w:pPr>
    </w:p>
    <w:sectPr w:rsidR="007219F0" w:rsidSect="00850044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44"/>
    <w:rsid w:val="001C4D21"/>
    <w:rsid w:val="00624C25"/>
    <w:rsid w:val="0068614D"/>
    <w:rsid w:val="007219F0"/>
    <w:rsid w:val="007351D8"/>
    <w:rsid w:val="00777C9A"/>
    <w:rsid w:val="00850044"/>
    <w:rsid w:val="00A62AB6"/>
    <w:rsid w:val="00AC0CD4"/>
    <w:rsid w:val="00AF7A76"/>
    <w:rsid w:val="00B717AA"/>
    <w:rsid w:val="00BA3615"/>
    <w:rsid w:val="00CA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CEF4D-8483-43AE-B5ED-82BBD3DD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044"/>
    <w:pPr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0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7C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C9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Tatiana Drapakova</cp:lastModifiedBy>
  <cp:revision>2</cp:revision>
  <cp:lastPrinted>2018-08-14T06:57:00Z</cp:lastPrinted>
  <dcterms:created xsi:type="dcterms:W3CDTF">2018-08-31T07:59:00Z</dcterms:created>
  <dcterms:modified xsi:type="dcterms:W3CDTF">2018-08-31T07:59:00Z</dcterms:modified>
</cp:coreProperties>
</file>